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30EF2" w14:textId="3D530FBD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Cs w:val="20"/>
        </w:rPr>
      </w:pPr>
      <w:proofErr w:type="spellStart"/>
      <w:r w:rsidRPr="0029769E">
        <w:rPr>
          <w:rFonts w:ascii="맑은 고딕" w:eastAsia="맑은 고딕" w:hAnsi="맑은 고딕" w:hint="eastAsia"/>
          <w:szCs w:val="20"/>
        </w:rPr>
        <w:t>도쿄화장품공업회</w:t>
      </w:r>
      <w:proofErr w:type="spellEnd"/>
      <w:r w:rsidRPr="0029769E">
        <w:rPr>
          <w:rFonts w:ascii="맑은 고딕" w:eastAsia="맑은 고딕" w:hAnsi="맑은 고딕" w:hint="eastAsia"/>
          <w:szCs w:val="20"/>
        </w:rPr>
        <w:t xml:space="preserve"> 회보</w:t>
      </w:r>
      <w:r w:rsidR="00AE3EBF">
        <w:rPr>
          <w:rFonts w:ascii="맑은 고딕" w:eastAsia="맑은 고딕" w:hAnsi="맑은 고딕" w:hint="eastAsia"/>
          <w:szCs w:val="20"/>
        </w:rPr>
        <w:t xml:space="preserve"> 제125호</w:t>
      </w:r>
      <w:bookmarkStart w:id="0" w:name="_GoBack"/>
      <w:bookmarkEnd w:id="0"/>
      <w:r w:rsidRPr="0029769E">
        <w:rPr>
          <w:rFonts w:ascii="맑은 고딕" w:eastAsia="맑은 고딕" w:hAnsi="맑은 고딕" w:hint="eastAsia"/>
          <w:szCs w:val="20"/>
        </w:rPr>
        <w:t>(1970년 4월 30일)에서 발췌</w:t>
      </w:r>
    </w:p>
    <w:p w14:paraId="79615A7D" w14:textId="29658469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Cs w:val="20"/>
        </w:rPr>
      </w:pPr>
      <w:r w:rsidRPr="0029769E">
        <w:rPr>
          <w:rFonts w:ascii="맑은 고딕" w:eastAsia="맑은 고딕" w:hAnsi="맑은 고딕" w:hint="eastAsia"/>
          <w:szCs w:val="20"/>
        </w:rPr>
        <w:t>(본건에 대해서는 일본화장품공업연합회 기술위원회 색소전문부회에서</w:t>
      </w:r>
      <w:r>
        <w:rPr>
          <w:rFonts w:ascii="맑은 고딕" w:eastAsia="맑은 고딕" w:hAnsi="맑은 고딕"/>
          <w:szCs w:val="20"/>
        </w:rPr>
        <w:br/>
      </w:r>
      <w:r w:rsidRPr="0029769E">
        <w:rPr>
          <w:rFonts w:ascii="맑은 고딕" w:eastAsia="맑은 고딕" w:hAnsi="맑은 고딕" w:hint="eastAsia"/>
          <w:szCs w:val="20"/>
        </w:rPr>
        <w:t>재검토하기로 되어 있습니다)</w:t>
      </w:r>
    </w:p>
    <w:p w14:paraId="26D961ED" w14:textId="77777777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</w:p>
    <w:p w14:paraId="7C8E85F4" w14:textId="6328819F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Cs w:val="20"/>
        </w:rPr>
      </w:pPr>
      <w:r w:rsidRPr="0029769E">
        <w:rPr>
          <w:rFonts w:ascii="맑은 고딕" w:eastAsia="맑은 고딕" w:hAnsi="맑은 고딕" w:hint="eastAsia"/>
          <w:szCs w:val="20"/>
        </w:rPr>
        <w:t xml:space="preserve">화장품용 타르색소 사용의 </w:t>
      </w:r>
      <w:r w:rsidR="007D0C62">
        <w:rPr>
          <w:rFonts w:ascii="맑은 고딕" w:eastAsia="맑은 고딕" w:hAnsi="맑은 고딕" w:hint="eastAsia"/>
          <w:szCs w:val="20"/>
        </w:rPr>
        <w:t>자발적</w:t>
      </w:r>
      <w:r w:rsidRPr="0029769E">
        <w:rPr>
          <w:rFonts w:ascii="맑은 고딕" w:eastAsia="맑은 고딕" w:hAnsi="맑은 고딕" w:hint="eastAsia"/>
          <w:szCs w:val="20"/>
        </w:rPr>
        <w:t xml:space="preserve"> 규제에 대해</w:t>
      </w:r>
    </w:p>
    <w:p w14:paraId="02B5DF13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163B9214" w14:textId="20A88A53" w:rsidR="0029769E" w:rsidRPr="0029769E" w:rsidRDefault="0029769E" w:rsidP="0029769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표제의 건에 대해서는 기술위원회 및 타르색소부회의 결정에 근거하여, 금년도 2월 27일자 서한에 따라 타르색소의 사용상황 및 의견에 대해 조사를 한 결과, 아래 15개 품목에 대해서는 거의 사용되지 않는 것으로 판명되었으므로, 만일 사용하고 있는다면 시급히 대체품으로 변경</w:t>
      </w:r>
      <w:r w:rsidR="007D0C62">
        <w:rPr>
          <w:rFonts w:ascii="맑은 고딕" w:eastAsia="맑은 고딕" w:hAnsi="맑은 고딕" w:hint="eastAsia"/>
          <w:sz w:val="20"/>
          <w:szCs w:val="20"/>
        </w:rPr>
        <w:t>할 것을 요청 드리며</w:t>
      </w:r>
      <w:r w:rsidRPr="0029769E">
        <w:rPr>
          <w:rFonts w:ascii="맑은 고딕" w:eastAsia="맑은 고딕" w:hAnsi="맑은 고딕" w:hint="eastAsia"/>
          <w:sz w:val="20"/>
          <w:szCs w:val="20"/>
        </w:rPr>
        <w:t xml:space="preserve">, 업계로서는 향후 </w:t>
      </w:r>
      <w:r w:rsidR="007D0C62">
        <w:rPr>
          <w:rFonts w:ascii="맑은 고딕" w:eastAsia="맑은 고딕" w:hAnsi="맑은 고딕" w:hint="eastAsia"/>
          <w:sz w:val="20"/>
          <w:szCs w:val="20"/>
        </w:rPr>
        <w:t>자발적</w:t>
      </w:r>
      <w:r w:rsidRPr="0029769E">
        <w:rPr>
          <w:rFonts w:ascii="맑은 고딕" w:eastAsia="맑은 고딕" w:hAnsi="맑은 고딕" w:hint="eastAsia"/>
          <w:sz w:val="20"/>
          <w:szCs w:val="20"/>
        </w:rPr>
        <w:t xml:space="preserve">으로 이러한 모든 색소의 사용을 중지할 것을 제160회 임원회에서 확인하였다. </w:t>
      </w:r>
    </w:p>
    <w:p w14:paraId="065FC943" w14:textId="77777777" w:rsidR="0029769E" w:rsidRPr="0029769E" w:rsidRDefault="0029769E" w:rsidP="0029769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 xml:space="preserve">더불어, 황색404호(에로AB)에 대해서는 유일한 유용성 황색 색소이기 때문에, 두발용 오일로 사용을 한정하고, 다른 화장품에는 일체 사용하지 않게 되었다. </w:t>
      </w:r>
    </w:p>
    <w:p w14:paraId="23B8B81A" w14:textId="77777777" w:rsidR="0029769E" w:rsidRPr="0029769E" w:rsidRDefault="0029769E" w:rsidP="0029769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 xml:space="preserve">이상, 본 건에 대해서는 4월 14일자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명의로 이미 산하 모든 회원에게 통지한 상태이다. </w:t>
      </w:r>
    </w:p>
    <w:p w14:paraId="007B9018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1F53A99C" w14:textId="77777777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47553010" w14:textId="19528592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 xml:space="preserve">1. </w:t>
      </w:r>
      <w:r w:rsidR="007D0C62">
        <w:rPr>
          <w:rFonts w:ascii="맑은 고딕" w:eastAsia="맑은 고딕" w:hAnsi="맑은 고딕" w:hint="eastAsia"/>
          <w:sz w:val="20"/>
          <w:szCs w:val="20"/>
        </w:rPr>
        <w:t>자발적</w:t>
      </w:r>
      <w:r w:rsidRPr="0029769E">
        <w:rPr>
          <w:rFonts w:ascii="맑은 고딕" w:eastAsia="맑은 고딕" w:hAnsi="맑은 고딕" w:hint="eastAsia"/>
          <w:sz w:val="20"/>
          <w:szCs w:val="20"/>
        </w:rPr>
        <w:t>으로 사용을 중지할 색소</w:t>
      </w:r>
    </w:p>
    <w:p w14:paraId="2A21A8FC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녹색2호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라이트그린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SF황</w:t>
      </w:r>
    </w:p>
    <w:p w14:paraId="685C96D9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적색214호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로다민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B아세테이트</w:t>
      </w:r>
    </w:p>
    <w:p w14:paraId="4313F1BA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적색229호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알바레드</w:t>
      </w:r>
      <w:proofErr w:type="spellEnd"/>
    </w:p>
    <w:p w14:paraId="6F2D3FD0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주황색202호의 (1)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디브롬플루오레세인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NA</w:t>
      </w:r>
    </w:p>
    <w:p w14:paraId="35F60733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주황색202호의 (2)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디브롬플루오레세인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K</w:t>
      </w:r>
    </w:p>
    <w:p w14:paraId="3A7EF416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황색202호의 (2)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우라닌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K</w:t>
      </w:r>
    </w:p>
    <w:p w14:paraId="3366D18D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적색502호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폰소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3R</w:t>
      </w:r>
    </w:p>
    <w:p w14:paraId="0A81D4BC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적색503호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폰소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R</w:t>
      </w:r>
    </w:p>
    <w:p w14:paraId="31CAE0DA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적색505호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오일레드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XO</w:t>
      </w:r>
    </w:p>
    <w:p w14:paraId="4F20D9A5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적색506호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퍼스트레드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S</w:t>
      </w:r>
    </w:p>
    <w:p w14:paraId="3A4A6F99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주황색402호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오렌지1</w:t>
      </w:r>
    </w:p>
    <w:p w14:paraId="54A8268F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주황색403호의 (2)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나프톨옐로우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SK</w:t>
      </w:r>
    </w:p>
    <w:p w14:paraId="51DC1DF4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황색405호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옐로우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OB</w:t>
      </w:r>
    </w:p>
    <w:p w14:paraId="047609F6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황색407호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퍼스트라이트옐로우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3G</w:t>
      </w:r>
    </w:p>
    <w:p w14:paraId="3F68E08F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녹색402호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기니그린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B</w:t>
      </w:r>
    </w:p>
    <w:p w14:paraId="357B9EA6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lastRenderedPageBreak/>
        <w:t>2. 두발용 오일에만 사용을 한정하는 색소</w:t>
      </w:r>
    </w:p>
    <w:p w14:paraId="628211D5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 w:hint="eastAsia"/>
          <w:sz w:val="20"/>
          <w:szCs w:val="20"/>
        </w:rPr>
        <w:t>황색404호</w:t>
      </w:r>
      <w:r w:rsidRPr="0029769E">
        <w:rPr>
          <w:rFonts w:ascii="맑은 고딕" w:eastAsia="맑은 고딕" w:hAnsi="맑은 고딕"/>
          <w:sz w:val="20"/>
          <w:szCs w:val="20"/>
        </w:rPr>
        <w:tab/>
      </w:r>
      <w:r w:rsidRPr="0029769E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옐로우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AB</w:t>
      </w:r>
    </w:p>
    <w:p w14:paraId="32F2F5D1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DCD19CF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br w:type="page"/>
      </w:r>
    </w:p>
    <w:p w14:paraId="3063ED98" w14:textId="77777777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lastRenderedPageBreak/>
        <w:t>도쿄화장품공업회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1969년도 사업보고서에서 발췌</w:t>
      </w:r>
    </w:p>
    <w:p w14:paraId="049EC06E" w14:textId="77777777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</w:p>
    <w:p w14:paraId="5948F821" w14:textId="77777777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(14) 화장품용 타르색소에 관한 사항</w:t>
      </w:r>
    </w:p>
    <w:p w14:paraId="5F63DE5B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15563722" w14:textId="77777777" w:rsidR="0029769E" w:rsidRPr="0029769E" w:rsidRDefault="0029769E" w:rsidP="0029769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 xml:space="preserve">바륨 및 지르코늄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레이크의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추가에 관해서는 작년도 결정 방침에 근거하여, 바륨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레이크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10개 품목, 지르코늄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레이크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7개 품목에 대해 각각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시험법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및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규격치를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첨부하여,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후생성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당국에 사용을 인정해 달라고 요청했지만, 올해는 추가 제정되지 않고 다음 연도로 이월되었다. </w:t>
      </w:r>
    </w:p>
    <w:p w14:paraId="278DC04F" w14:textId="77777777" w:rsidR="0029769E" w:rsidRPr="0029769E" w:rsidRDefault="0029769E" w:rsidP="0029769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또한, 소비자 보호행정과 관련하여, 각종 상품의 안전성에 대한 관계감독관청의 규제가 강화되는 경향에 있어, 후생성에서도 식품첨가물 등의 규제검토 방침이 일부 보도되었다.</w:t>
      </w:r>
    </w:p>
    <w:p w14:paraId="04176FF1" w14:textId="229DDF60" w:rsidR="0029769E" w:rsidRPr="0029769E" w:rsidRDefault="0029769E" w:rsidP="0029769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당회에서는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기술위원회 및 타르색소부회와 소위원회에서 화장품용 타르색소 전체에 대해 검토를 실시해, 향후 문제가 될 듯한 색소 35개 품목을 한정하고, 일단 다음 표에 열거하는 16개 품목에 대해서는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사용성이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적다는 점 혹은 다른 대체품 등으로 변경이 가능할 것이라는 이유에서 업계에서는 일단 </w:t>
      </w:r>
      <w:r w:rsidR="007D0C62">
        <w:rPr>
          <w:rFonts w:ascii="맑은 고딕" w:eastAsia="맑은 고딕" w:hAnsi="맑은 고딕" w:hint="eastAsia"/>
          <w:sz w:val="20"/>
          <w:szCs w:val="20"/>
        </w:rPr>
        <w:t>자발적</w:t>
      </w:r>
      <w:r w:rsidRPr="0029769E">
        <w:rPr>
          <w:rFonts w:ascii="맑은 고딕" w:eastAsia="맑은 고딕" w:hAnsi="맑은 고딕" w:hint="eastAsia"/>
          <w:sz w:val="20"/>
          <w:szCs w:val="20"/>
        </w:rPr>
        <w:t xml:space="preserve">으로 사용을 중지해 나갈 방침을 결정하였다. </w:t>
      </w:r>
    </w:p>
    <w:p w14:paraId="122E30D8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11147C1A" w14:textId="197E18D2" w:rsidR="0029769E" w:rsidRPr="0029769E" w:rsidRDefault="0029769E" w:rsidP="0029769E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 xml:space="preserve">향후 화장품에는 </w:t>
      </w:r>
      <w:r w:rsidR="007D0C62">
        <w:rPr>
          <w:rFonts w:ascii="맑은 고딕" w:eastAsia="맑은 고딕" w:hAnsi="맑은 고딕" w:hint="eastAsia"/>
          <w:sz w:val="20"/>
          <w:szCs w:val="20"/>
        </w:rPr>
        <w:t>자발적</w:t>
      </w:r>
      <w:r w:rsidRPr="0029769E">
        <w:rPr>
          <w:rFonts w:ascii="맑은 고딕" w:eastAsia="맑은 고딕" w:hAnsi="맑은 고딕" w:hint="eastAsia"/>
          <w:sz w:val="20"/>
          <w:szCs w:val="20"/>
        </w:rPr>
        <w:t>으로 사용하지 않을 방침의 색소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9769E" w:rsidRPr="0029769E" w14:paraId="6D7113BC" w14:textId="77777777" w:rsidTr="00E628F0">
        <w:tc>
          <w:tcPr>
            <w:tcW w:w="9016" w:type="dxa"/>
          </w:tcPr>
          <w:p w14:paraId="59E9BCAC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그룹I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(의약품, </w:t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및 화장용품)</w:t>
            </w:r>
          </w:p>
          <w:p w14:paraId="76F7FA68" w14:textId="77777777" w:rsidR="0029769E" w:rsidRPr="0029769E" w:rsidRDefault="0029769E" w:rsidP="0029769E">
            <w:pPr>
              <w:spacing w:afterLines="50" w:after="120"/>
              <w:ind w:firstLine="80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녹색2호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라이트그린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SF황</w:t>
            </w:r>
          </w:p>
          <w:p w14:paraId="224E6583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그룹II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(외용의약품, </w:t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및 화장용품)</w:t>
            </w:r>
          </w:p>
          <w:p w14:paraId="349924A3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적색214호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로다민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B아세테이트</w:t>
            </w:r>
          </w:p>
          <w:p w14:paraId="721F5714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적색229호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알파레드</w:t>
            </w:r>
            <w:proofErr w:type="spellEnd"/>
          </w:p>
          <w:p w14:paraId="375CA09D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주황색202호의 (1)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디브롬플루오레세인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NA</w:t>
            </w:r>
          </w:p>
          <w:p w14:paraId="778A74BC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주황색202호의 (2)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디브롬플루오레세인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K</w:t>
            </w:r>
          </w:p>
          <w:p w14:paraId="15AD3800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황색202호의 (2)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라우린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K</w:t>
            </w:r>
          </w:p>
          <w:p w14:paraId="314A1A76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그룹III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(점막에 사용되지 않는 의약품, </w:t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및 화장용품)</w:t>
            </w:r>
          </w:p>
          <w:p w14:paraId="02E5FF22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적색502호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폰소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3R</w:t>
            </w:r>
          </w:p>
          <w:p w14:paraId="4C795BCC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적색503호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폰소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R</w:t>
            </w:r>
          </w:p>
          <w:p w14:paraId="66C36D89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적색505호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오일레드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XO</w:t>
            </w:r>
          </w:p>
          <w:p w14:paraId="724E1C19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적색506호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퍼스트레드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S</w:t>
            </w:r>
          </w:p>
          <w:p w14:paraId="3998EA89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주황색402호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오렌지I</w:t>
            </w:r>
          </w:p>
          <w:p w14:paraId="3A6A628F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황색403호의 (2)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나프톨옐로우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SK</w:t>
            </w:r>
          </w:p>
          <w:p w14:paraId="1E53EB28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황색404호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옐로우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AB</w:t>
            </w:r>
          </w:p>
          <w:p w14:paraId="147123E4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lastRenderedPageBreak/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황색405호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옐로우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OB</w:t>
            </w:r>
          </w:p>
          <w:p w14:paraId="537AAACF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황색407호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퍼스트라이트옐로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3G</w:t>
            </w:r>
          </w:p>
          <w:p w14:paraId="23F79DE5" w14:textId="77777777" w:rsidR="0029769E" w:rsidRPr="0029769E" w:rsidRDefault="0029769E" w:rsidP="0029769E">
            <w:pPr>
              <w:spacing w:afterLines="50" w:after="120"/>
              <w:rPr>
                <w:rFonts w:ascii="맑은 고딕" w:eastAsia="맑은 고딕" w:hAnsi="맑은 고딕"/>
                <w:sz w:val="20"/>
                <w:szCs w:val="20"/>
              </w:rPr>
            </w:pP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녹색402호</w:t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 w:rsidRPr="0029769E">
              <w:rPr>
                <w:rFonts w:ascii="맑은 고딕" w:eastAsia="맑은 고딕" w:hAnsi="맑은 고딕"/>
                <w:sz w:val="20"/>
                <w:szCs w:val="20"/>
              </w:rPr>
              <w:tab/>
            </w:r>
            <w:proofErr w:type="spellStart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기니그린</w:t>
            </w:r>
            <w:proofErr w:type="spellEnd"/>
            <w:r w:rsidRPr="0029769E">
              <w:rPr>
                <w:rFonts w:ascii="맑은 고딕" w:eastAsia="맑은 고딕" w:hAnsi="맑은 고딕" w:hint="eastAsia"/>
                <w:sz w:val="20"/>
                <w:szCs w:val="20"/>
              </w:rPr>
              <w:t>B</w:t>
            </w:r>
          </w:p>
        </w:tc>
      </w:tr>
    </w:tbl>
    <w:p w14:paraId="260F0052" w14:textId="77777777" w:rsidR="0029769E" w:rsidRPr="0029769E" w:rsidRDefault="0029769E" w:rsidP="0029769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88C085B" w14:textId="10081D12" w:rsidR="0029769E" w:rsidRPr="0029769E" w:rsidRDefault="0029769E" w:rsidP="0029769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 xml:space="preserve">이 방침에 근거하여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전회원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및 관련 색소업자의 의견을 조사한 결과, 황색 404호 </w:t>
      </w:r>
      <w:r w:rsidRPr="0029769E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옐로우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AB</w:t>
      </w:r>
      <w:r w:rsidRPr="0029769E">
        <w:rPr>
          <w:rFonts w:ascii="맑은 고딕" w:eastAsia="맑은 고딕" w:hAnsi="맑은 고딕"/>
          <w:sz w:val="20"/>
          <w:szCs w:val="20"/>
        </w:rPr>
        <w:t>”</w:t>
      </w:r>
      <w:r w:rsidRPr="0029769E">
        <w:rPr>
          <w:rFonts w:ascii="맑은 고딕" w:eastAsia="맑은 고딕" w:hAnsi="맑은 고딕" w:hint="eastAsia"/>
          <w:sz w:val="20"/>
          <w:szCs w:val="20"/>
        </w:rPr>
        <w:t xml:space="preserve">에 대해서는 다른 적당한 유용성 황색 색소가 없기 때문에, 두발용 오일에 한해 사용하기로 하며, 다른 15개 품목의 화장품에 사용은 </w:t>
      </w:r>
      <w:r w:rsidR="007D0C62">
        <w:rPr>
          <w:rFonts w:ascii="맑은 고딕" w:eastAsia="맑은 고딕" w:hAnsi="맑은 고딕" w:hint="eastAsia"/>
          <w:sz w:val="20"/>
          <w:szCs w:val="20"/>
        </w:rPr>
        <w:t>자발적</w:t>
      </w:r>
      <w:r w:rsidRPr="0029769E">
        <w:rPr>
          <w:rFonts w:ascii="맑은 고딕" w:eastAsia="맑은 고딕" w:hAnsi="맑은 고딕" w:hint="eastAsia"/>
          <w:sz w:val="20"/>
          <w:szCs w:val="20"/>
        </w:rPr>
        <w:t xml:space="preserve">으로 중지할 것을 최종적으로 결정하고, 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 xml:space="preserve"> 명의로 산하 모든 회원에게 통지하였다. (1970년 4월 14일자)</w:t>
      </w:r>
    </w:p>
    <w:p w14:paraId="1F29583D" w14:textId="77777777" w:rsidR="0029769E" w:rsidRPr="0029769E" w:rsidRDefault="0029769E" w:rsidP="00A1460B">
      <w:pPr>
        <w:spacing w:afterLines="50" w:after="120"/>
        <w:ind w:left="426" w:hangingChars="213" w:hanging="426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 xml:space="preserve">(주) 그 후 제반 정세를 토대로 재검토 결과, 황색404호 </w:t>
      </w:r>
      <w:r w:rsidRPr="0029769E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29769E">
        <w:rPr>
          <w:rFonts w:ascii="맑은 고딕" w:eastAsia="맑은 고딕" w:hAnsi="맑은 고딕" w:hint="eastAsia"/>
          <w:sz w:val="20"/>
          <w:szCs w:val="20"/>
        </w:rPr>
        <w:t>옐로우</w:t>
      </w:r>
      <w:proofErr w:type="spellEnd"/>
      <w:r w:rsidRPr="0029769E">
        <w:rPr>
          <w:rFonts w:ascii="맑은 고딕" w:eastAsia="맑은 고딕" w:hAnsi="맑은 고딕" w:hint="eastAsia"/>
          <w:sz w:val="20"/>
          <w:szCs w:val="20"/>
        </w:rPr>
        <w:t>AB</w:t>
      </w:r>
      <w:r w:rsidRPr="0029769E">
        <w:rPr>
          <w:rFonts w:ascii="맑은 고딕" w:eastAsia="맑은 고딕" w:hAnsi="맑은 고딕"/>
          <w:sz w:val="20"/>
          <w:szCs w:val="20"/>
        </w:rPr>
        <w:t>”</w:t>
      </w:r>
      <w:r w:rsidRPr="0029769E">
        <w:rPr>
          <w:rFonts w:ascii="맑은 고딕" w:eastAsia="맑은 고딕" w:hAnsi="맑은 고딕" w:hint="eastAsia"/>
          <w:sz w:val="20"/>
          <w:szCs w:val="20"/>
        </w:rPr>
        <w:t>에 대해서도 전면적으로 화장품에 사용을 중지하게 되어, 모든 회원에게 그 내용을 다시 통지하였다. (1970년 5월 9일자)</w:t>
      </w:r>
    </w:p>
    <w:p w14:paraId="55F0ABF0" w14:textId="77777777" w:rsidR="0029769E" w:rsidRPr="0029769E" w:rsidRDefault="0029769E" w:rsidP="0029769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더불어, 나머지 19개 품목에 대해서는 특히 사용 희망이 강하므로, 시급히 문헌조사나 독성시험 등을 실시하여, 안전성 및 사용여부를 확인하게 되었고, 특히 아래 12개 품목에 대해서는 1969년 봄부터 경구급성독성 시험을 실시하였는데, 이 시험에 관해서는 전 품목에 문제가 없음이 밝혀졌지만, 다시 검토를 추진해 나가게 되었다. (회보123호 참조)</w:t>
      </w:r>
    </w:p>
    <w:p w14:paraId="784A0B1C" w14:textId="77777777" w:rsidR="0029769E" w:rsidRPr="0029769E" w:rsidRDefault="0029769E" w:rsidP="00A1460B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/>
          <w:sz w:val="20"/>
          <w:szCs w:val="20"/>
        </w:rPr>
        <w:t>“</w:t>
      </w:r>
      <w:r w:rsidRPr="0029769E">
        <w:rPr>
          <w:rFonts w:ascii="맑은 고딕" w:eastAsia="맑은 고딕" w:hAnsi="맑은 고딕" w:hint="eastAsia"/>
          <w:sz w:val="20"/>
          <w:szCs w:val="20"/>
        </w:rPr>
        <w:t>경구급성독성시험</w:t>
      </w:r>
      <w:r w:rsidRPr="0029769E">
        <w:rPr>
          <w:rFonts w:ascii="맑은 고딕" w:eastAsia="맑은 고딕" w:hAnsi="맑은 고딕"/>
          <w:sz w:val="20"/>
          <w:szCs w:val="20"/>
        </w:rPr>
        <w:t>”</w:t>
      </w:r>
      <w:r w:rsidRPr="0029769E">
        <w:rPr>
          <w:rFonts w:ascii="맑은 고딕" w:eastAsia="맑은 고딕" w:hAnsi="맑은 고딕" w:hint="eastAsia"/>
          <w:sz w:val="20"/>
          <w:szCs w:val="20"/>
        </w:rPr>
        <w:t xml:space="preserve"> 실시 12개 품목</w:t>
      </w:r>
    </w:p>
    <w:p w14:paraId="4B991ABF" w14:textId="77777777" w:rsidR="0029769E" w:rsidRPr="0029769E" w:rsidRDefault="0029769E" w:rsidP="00A1460B">
      <w:pPr>
        <w:spacing w:afterLines="50" w:after="120"/>
        <w:ind w:leftChars="322" w:left="708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그룹II (4개 품목)</w:t>
      </w:r>
    </w:p>
    <w:p w14:paraId="4BA3E8AE" w14:textId="77777777" w:rsidR="0029769E" w:rsidRPr="0029769E" w:rsidRDefault="0029769E" w:rsidP="00A1460B">
      <w:pPr>
        <w:spacing w:afterLines="50" w:after="120"/>
        <w:ind w:leftChars="322" w:left="708" w:firstLine="1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주황색204호, 황색205호, 청색202호, 청색203호</w:t>
      </w:r>
    </w:p>
    <w:p w14:paraId="6A222623" w14:textId="77777777" w:rsidR="0029769E" w:rsidRPr="0029769E" w:rsidRDefault="0029769E" w:rsidP="00A1460B">
      <w:pPr>
        <w:spacing w:afterLines="50" w:after="120"/>
        <w:ind w:leftChars="322" w:left="708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그룹III (8개 품목)</w:t>
      </w:r>
    </w:p>
    <w:p w14:paraId="3B1DFF22" w14:textId="77777777" w:rsidR="0029769E" w:rsidRPr="0029769E" w:rsidRDefault="0029769E" w:rsidP="00A1460B">
      <w:pPr>
        <w:spacing w:afterLines="50" w:after="120"/>
        <w:ind w:leftChars="515" w:left="1133" w:firstLine="1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적색401호, 적색404호, 적색405호, 적색501호,</w:t>
      </w:r>
    </w:p>
    <w:p w14:paraId="08D17CD8" w14:textId="77777777" w:rsidR="0029769E" w:rsidRPr="0029769E" w:rsidRDefault="0029769E" w:rsidP="00A1460B">
      <w:pPr>
        <w:spacing w:afterLines="50" w:after="120"/>
        <w:ind w:leftChars="515" w:left="1133" w:firstLine="1"/>
        <w:rPr>
          <w:rFonts w:ascii="맑은 고딕" w:eastAsia="맑은 고딕" w:hAnsi="맑은 고딕"/>
          <w:sz w:val="20"/>
          <w:szCs w:val="20"/>
        </w:rPr>
      </w:pPr>
      <w:r w:rsidRPr="0029769E">
        <w:rPr>
          <w:rFonts w:ascii="맑은 고딕" w:eastAsia="맑은 고딕" w:hAnsi="맑은 고딕" w:hint="eastAsia"/>
          <w:sz w:val="20"/>
          <w:szCs w:val="20"/>
        </w:rPr>
        <w:t>황색402호, 청색403호, 청색404호, 자색401호</w:t>
      </w:r>
    </w:p>
    <w:p w14:paraId="3C36D684" w14:textId="41821831" w:rsidR="00B87E25" w:rsidRDefault="00B87E25">
      <w:pPr>
        <w:rPr>
          <w:rFonts w:ascii="맑은 고딕" w:eastAsia="맑은 고딕" w:hAnsi="맑은 고딕"/>
          <w:sz w:val="20"/>
          <w:szCs w:val="20"/>
        </w:rPr>
      </w:pPr>
    </w:p>
    <w:sectPr w:rsidR="00B87E25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7A039" w14:textId="77777777" w:rsidR="00DB445F" w:rsidRDefault="00DB445F" w:rsidP="0040554A">
      <w:r>
        <w:separator/>
      </w:r>
    </w:p>
  </w:endnote>
  <w:endnote w:type="continuationSeparator" w:id="0">
    <w:p w14:paraId="765935DA" w14:textId="77777777" w:rsidR="00DB445F" w:rsidRDefault="00DB445F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27224" w14:textId="77777777" w:rsidR="00DB445F" w:rsidRDefault="00DB445F" w:rsidP="0040554A">
      <w:r>
        <w:separator/>
      </w:r>
    </w:p>
  </w:footnote>
  <w:footnote w:type="continuationSeparator" w:id="0">
    <w:p w14:paraId="2D103C9C" w14:textId="77777777" w:rsidR="00DB445F" w:rsidRDefault="00DB445F" w:rsidP="0040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4859"/>
    <w:multiLevelType w:val="hybridMultilevel"/>
    <w:tmpl w:val="DC065734"/>
    <w:lvl w:ilvl="0" w:tplc="D30049BA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>
    <w:nsid w:val="07156803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>
    <w:nsid w:val="0B42167D"/>
    <w:multiLevelType w:val="hybridMultilevel"/>
    <w:tmpl w:val="98EE6880"/>
    <w:lvl w:ilvl="0" w:tplc="4B80F258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>
    <w:nsid w:val="1D9810D7"/>
    <w:multiLevelType w:val="hybridMultilevel"/>
    <w:tmpl w:val="7098DB58"/>
    <w:lvl w:ilvl="0" w:tplc="BD226CCC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4">
    <w:nsid w:val="2C741EDB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>
    <w:nsid w:val="36EE797C"/>
    <w:multiLevelType w:val="hybridMultilevel"/>
    <w:tmpl w:val="234ED958"/>
    <w:lvl w:ilvl="0" w:tplc="4F48F74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>
    <w:nsid w:val="3D407BBA"/>
    <w:multiLevelType w:val="hybridMultilevel"/>
    <w:tmpl w:val="3806CDAA"/>
    <w:lvl w:ilvl="0" w:tplc="0BDEBB5E">
      <w:start w:val="1"/>
      <w:numFmt w:val="bullet"/>
      <w:lvlText w:val="•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>
    <w:nsid w:val="3E6E4583"/>
    <w:multiLevelType w:val="hybridMultilevel"/>
    <w:tmpl w:val="C81A224C"/>
    <w:lvl w:ilvl="0" w:tplc="04090011">
      <w:start w:val="1"/>
      <w:numFmt w:val="decimalEnclosedCircle"/>
      <w:lvlText w:val="%1"/>
      <w:lvlJc w:val="left"/>
      <w:pPr>
        <w:ind w:left="1306" w:hanging="440"/>
      </w:pPr>
    </w:lvl>
    <w:lvl w:ilvl="1" w:tplc="04090019" w:tentative="1">
      <w:start w:val="1"/>
      <w:numFmt w:val="upperLetter"/>
      <w:lvlText w:val="%2."/>
      <w:lvlJc w:val="left"/>
      <w:pPr>
        <w:ind w:left="1746" w:hanging="440"/>
      </w:pPr>
    </w:lvl>
    <w:lvl w:ilvl="2" w:tplc="0409001B" w:tentative="1">
      <w:start w:val="1"/>
      <w:numFmt w:val="lowerRoman"/>
      <w:lvlText w:val="%3."/>
      <w:lvlJc w:val="right"/>
      <w:pPr>
        <w:ind w:left="2186" w:hanging="440"/>
      </w:pPr>
    </w:lvl>
    <w:lvl w:ilvl="3" w:tplc="0409000F" w:tentative="1">
      <w:start w:val="1"/>
      <w:numFmt w:val="decimal"/>
      <w:lvlText w:val="%4."/>
      <w:lvlJc w:val="left"/>
      <w:pPr>
        <w:ind w:left="2626" w:hanging="440"/>
      </w:pPr>
    </w:lvl>
    <w:lvl w:ilvl="4" w:tplc="04090019" w:tentative="1">
      <w:start w:val="1"/>
      <w:numFmt w:val="upperLetter"/>
      <w:lvlText w:val="%5."/>
      <w:lvlJc w:val="left"/>
      <w:pPr>
        <w:ind w:left="3066" w:hanging="440"/>
      </w:pPr>
    </w:lvl>
    <w:lvl w:ilvl="5" w:tplc="0409001B" w:tentative="1">
      <w:start w:val="1"/>
      <w:numFmt w:val="lowerRoman"/>
      <w:lvlText w:val="%6."/>
      <w:lvlJc w:val="right"/>
      <w:pPr>
        <w:ind w:left="3506" w:hanging="440"/>
      </w:pPr>
    </w:lvl>
    <w:lvl w:ilvl="6" w:tplc="0409000F" w:tentative="1">
      <w:start w:val="1"/>
      <w:numFmt w:val="decimal"/>
      <w:lvlText w:val="%7."/>
      <w:lvlJc w:val="left"/>
      <w:pPr>
        <w:ind w:left="3946" w:hanging="440"/>
      </w:pPr>
    </w:lvl>
    <w:lvl w:ilvl="7" w:tplc="04090019" w:tentative="1">
      <w:start w:val="1"/>
      <w:numFmt w:val="upperLetter"/>
      <w:lvlText w:val="%8."/>
      <w:lvlJc w:val="left"/>
      <w:pPr>
        <w:ind w:left="4386" w:hanging="440"/>
      </w:pPr>
    </w:lvl>
    <w:lvl w:ilvl="8" w:tplc="0409001B" w:tentative="1">
      <w:start w:val="1"/>
      <w:numFmt w:val="lowerRoman"/>
      <w:lvlText w:val="%9."/>
      <w:lvlJc w:val="right"/>
      <w:pPr>
        <w:ind w:left="4826" w:hanging="440"/>
      </w:pPr>
    </w:lvl>
  </w:abstractNum>
  <w:abstractNum w:abstractNumId="8">
    <w:nsid w:val="582955CA"/>
    <w:multiLevelType w:val="hybridMultilevel"/>
    <w:tmpl w:val="65B2CC70"/>
    <w:lvl w:ilvl="0" w:tplc="18725258">
      <w:start w:val="1"/>
      <w:numFmt w:val="decimal"/>
      <w:lvlText w:val="(%1)"/>
      <w:lvlJc w:val="left"/>
      <w:pPr>
        <w:ind w:left="808" w:hanging="368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>
    <w:nsid w:val="5D2474FB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>
    <w:nsid w:val="5FF33DE9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>
    <w:nsid w:val="75EB138C"/>
    <w:multiLevelType w:val="hybridMultilevel"/>
    <w:tmpl w:val="6EFE9ABA"/>
    <w:lvl w:ilvl="0" w:tplc="8F702A8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>
    <w:nsid w:val="7AE32C83"/>
    <w:multiLevelType w:val="hybridMultilevel"/>
    <w:tmpl w:val="E83E5968"/>
    <w:lvl w:ilvl="0" w:tplc="59627FB0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E1"/>
    <w:rsid w:val="00042B50"/>
    <w:rsid w:val="000567D9"/>
    <w:rsid w:val="00056D8B"/>
    <w:rsid w:val="000B079B"/>
    <w:rsid w:val="000C34B5"/>
    <w:rsid w:val="000D3333"/>
    <w:rsid w:val="000F758F"/>
    <w:rsid w:val="00132C0B"/>
    <w:rsid w:val="00142B1F"/>
    <w:rsid w:val="001B1783"/>
    <w:rsid w:val="0022136B"/>
    <w:rsid w:val="00227588"/>
    <w:rsid w:val="00266731"/>
    <w:rsid w:val="0029769E"/>
    <w:rsid w:val="002E4EDF"/>
    <w:rsid w:val="002F1C56"/>
    <w:rsid w:val="00313DF5"/>
    <w:rsid w:val="003536E6"/>
    <w:rsid w:val="00360922"/>
    <w:rsid w:val="003B4EDF"/>
    <w:rsid w:val="003C2A20"/>
    <w:rsid w:val="003F450E"/>
    <w:rsid w:val="0040554A"/>
    <w:rsid w:val="00412980"/>
    <w:rsid w:val="00445BFF"/>
    <w:rsid w:val="004C1EC8"/>
    <w:rsid w:val="004C7590"/>
    <w:rsid w:val="004F4A1E"/>
    <w:rsid w:val="00513C2E"/>
    <w:rsid w:val="005409CD"/>
    <w:rsid w:val="00570A78"/>
    <w:rsid w:val="005739CB"/>
    <w:rsid w:val="005E5F87"/>
    <w:rsid w:val="005F5D5E"/>
    <w:rsid w:val="00610390"/>
    <w:rsid w:val="00613D9B"/>
    <w:rsid w:val="0062356D"/>
    <w:rsid w:val="006B20D3"/>
    <w:rsid w:val="006B7B70"/>
    <w:rsid w:val="006F00D3"/>
    <w:rsid w:val="00702918"/>
    <w:rsid w:val="00766048"/>
    <w:rsid w:val="007D0C62"/>
    <w:rsid w:val="00820C3C"/>
    <w:rsid w:val="008321ED"/>
    <w:rsid w:val="008A449A"/>
    <w:rsid w:val="0091376C"/>
    <w:rsid w:val="00921A34"/>
    <w:rsid w:val="00960967"/>
    <w:rsid w:val="009D7AEE"/>
    <w:rsid w:val="00A1460B"/>
    <w:rsid w:val="00A211FE"/>
    <w:rsid w:val="00A53CB7"/>
    <w:rsid w:val="00A6668F"/>
    <w:rsid w:val="00AA37F3"/>
    <w:rsid w:val="00AE3EBF"/>
    <w:rsid w:val="00B12410"/>
    <w:rsid w:val="00B33DBD"/>
    <w:rsid w:val="00B47741"/>
    <w:rsid w:val="00B779B1"/>
    <w:rsid w:val="00B87E25"/>
    <w:rsid w:val="00BA797B"/>
    <w:rsid w:val="00BC0AC5"/>
    <w:rsid w:val="00BE1A42"/>
    <w:rsid w:val="00D3097C"/>
    <w:rsid w:val="00D720B2"/>
    <w:rsid w:val="00DA535E"/>
    <w:rsid w:val="00DB08CD"/>
    <w:rsid w:val="00DB445F"/>
    <w:rsid w:val="00DC122C"/>
    <w:rsid w:val="00DF0120"/>
    <w:rsid w:val="00E16CB9"/>
    <w:rsid w:val="00E45BDC"/>
    <w:rsid w:val="00EC4FA7"/>
    <w:rsid w:val="00EE4F43"/>
    <w:rsid w:val="00F44D08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40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3</cp:revision>
  <dcterms:created xsi:type="dcterms:W3CDTF">2024-11-21T06:54:00Z</dcterms:created>
  <dcterms:modified xsi:type="dcterms:W3CDTF">2024-11-22T01:09:00Z</dcterms:modified>
</cp:coreProperties>
</file>